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7647CF" w:rsidP="007647CF">
      <w:pPr>
        <w:ind w:left="-710" w:firstLine="695"/>
        <w:jc w:val="both"/>
        <w:rPr>
          <w:b/>
          <w:bCs/>
        </w:rPr>
      </w:pPr>
    </w:p>
    <w:p w:rsidR="00CF1133" w:rsidRDefault="007647CF" w:rsidP="007647CF">
      <w:pPr>
        <w:ind w:left="-710" w:firstLine="695"/>
        <w:jc w:val="both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7647CF" w:rsidP="007647CF">
      <w:pPr>
        <w:ind w:left="-710" w:firstLine="695"/>
        <w:jc w:val="both"/>
        <w:rPr>
          <w:b/>
          <w:bCs/>
        </w:rPr>
      </w:pPr>
    </w:p>
    <w:p w:rsidR="00BE3AA8" w:rsidRDefault="007647CF" w:rsidP="007647CF">
      <w:pPr>
        <w:jc w:val="both"/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7647CF" w:rsidP="007647CF">
      <w:pPr>
        <w:spacing w:after="0" w:line="256" w:lineRule="auto"/>
        <w:ind w:left="0" w:firstLine="0"/>
        <w:jc w:val="both"/>
        <w:rPr>
          <w:b/>
          <w:bCs/>
        </w:rPr>
      </w:pPr>
    </w:p>
    <w:p w:rsidR="00BC4466" w:rsidRPr="00BC4466" w:rsidRDefault="007647CF" w:rsidP="007647CF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7647CF" w:rsidP="007647CF">
      <w:pPr>
        <w:spacing w:after="0" w:line="256" w:lineRule="auto"/>
        <w:ind w:left="0" w:firstLine="0"/>
        <w:jc w:val="both"/>
      </w:pPr>
    </w:p>
    <w:p w:rsidR="00A3358A" w:rsidRDefault="007647CF" w:rsidP="007647CF">
      <w:pPr>
        <w:jc w:val="both"/>
      </w:pPr>
      <w:r w:rsidRPr="006312CF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Thursday, 9 May 2019</w:t>
      </w:r>
      <w:r>
        <w:fldChar w:fldCharType="end"/>
      </w:r>
    </w:p>
    <w:p w:rsidR="00A3358A" w:rsidRDefault="007647CF" w:rsidP="007647CF">
      <w:pPr>
        <w:jc w:val="both"/>
      </w:pPr>
    </w:p>
    <w:p w:rsidR="00A3358A" w:rsidRDefault="007647CF" w:rsidP="007647CF">
      <w:pPr>
        <w:jc w:val="both"/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Growth Hub Annual Report</w:t>
      </w:r>
      <w:r>
        <w:rPr>
          <w:b/>
        </w:rPr>
        <w:fldChar w:fldCharType="end"/>
      </w:r>
      <w:r>
        <w:rPr>
          <w:b/>
        </w:rPr>
        <w:t xml:space="preserve"> 2018-19</w:t>
      </w:r>
    </w:p>
    <w:p w:rsidR="00D7480F" w:rsidRDefault="007647CF" w:rsidP="007647CF">
      <w:pPr>
        <w:spacing w:after="0" w:line="256" w:lineRule="auto"/>
        <w:ind w:left="0" w:firstLine="0"/>
        <w:jc w:val="both"/>
      </w:pPr>
    </w:p>
    <w:p w:rsidR="00F41096" w:rsidRPr="00F41096" w:rsidRDefault="007647CF" w:rsidP="007647CF">
      <w:pPr>
        <w:ind w:right="-873"/>
        <w:jc w:val="both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:rsidR="00CF1133" w:rsidRPr="002B3CC5" w:rsidRDefault="007647CF" w:rsidP="007647CF">
      <w:pPr>
        <w:ind w:right="-873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:rsidR="002B3CC5" w:rsidRDefault="007647CF" w:rsidP="007647CF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5237B" w:rsidTr="008B5354">
        <w:tc>
          <w:tcPr>
            <w:tcW w:w="9180" w:type="dxa"/>
          </w:tcPr>
          <w:p w:rsidR="002B3CC5" w:rsidRDefault="007647CF" w:rsidP="007647CF">
            <w:pPr>
              <w:pStyle w:val="Header"/>
              <w:jc w:val="both"/>
            </w:pPr>
          </w:p>
          <w:p w:rsidR="002B3CC5" w:rsidRPr="002B3CC5" w:rsidRDefault="007647CF" w:rsidP="007647CF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7647CF" w:rsidP="007647CF">
            <w:pPr>
              <w:jc w:val="both"/>
              <w:rPr>
                <w:color w:val="auto"/>
              </w:rPr>
            </w:pPr>
          </w:p>
          <w:p w:rsidR="00C24669" w:rsidRDefault="007647CF" w:rsidP="007647CF">
            <w:pPr>
              <w:ind w:left="29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As part of the Department for Business, Energy and Industrial Strategy's (BEIS) governance arrangement for the national network of Growth Hubs, a new requirement has been introduced </w:t>
            </w:r>
            <w:r>
              <w:rPr>
                <w:color w:val="auto"/>
              </w:rPr>
              <w:t xml:space="preserve">this year </w:t>
            </w:r>
            <w:r>
              <w:rPr>
                <w:color w:val="auto"/>
              </w:rPr>
              <w:t>to produce an Annual Report.</w:t>
            </w:r>
            <w:r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Whilst </w:t>
            </w:r>
            <w:r>
              <w:rPr>
                <w:color w:val="auto"/>
              </w:rPr>
              <w:t>dealing solely with the performance and connectivity of the Growth Hub, t</w:t>
            </w:r>
            <w:r>
              <w:rPr>
                <w:color w:val="auto"/>
              </w:rPr>
              <w:t>his report will also been seen as part of the wider assurance framework for the LEP as a whole.</w:t>
            </w:r>
          </w:p>
          <w:p w:rsidR="00C24669" w:rsidRDefault="007647CF" w:rsidP="007647CF">
            <w:pPr>
              <w:ind w:left="29" w:firstLine="0"/>
              <w:jc w:val="both"/>
              <w:rPr>
                <w:color w:val="auto"/>
              </w:rPr>
            </w:pPr>
          </w:p>
          <w:p w:rsidR="00E54EE0" w:rsidRDefault="007647CF" w:rsidP="007647CF">
            <w:pPr>
              <w:ind w:left="29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This is primarily a backward looking document, recording and reflecting on performance</w:t>
            </w:r>
            <w:r>
              <w:rPr>
                <w:color w:val="auto"/>
              </w:rPr>
              <w:t xml:space="preserve"> in the previous twelve months, but BEIS are also keen that the Annual Report highlights best practice and local innovation which could be spun out across the growth hub network.</w:t>
            </w:r>
          </w:p>
          <w:p w:rsidR="00E54EE0" w:rsidRDefault="007647CF" w:rsidP="007647CF">
            <w:pPr>
              <w:ind w:left="29" w:firstLine="0"/>
              <w:jc w:val="both"/>
              <w:rPr>
                <w:color w:val="auto"/>
              </w:rPr>
            </w:pPr>
          </w:p>
          <w:p w:rsidR="002B3CC5" w:rsidRPr="002B3CC5" w:rsidRDefault="007647CF" w:rsidP="007647CF">
            <w:pPr>
              <w:ind w:left="29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The document also acts as a useful guide to the wider policy initiatives whe</w:t>
            </w:r>
            <w:r>
              <w:rPr>
                <w:color w:val="auto"/>
              </w:rPr>
              <w:t xml:space="preserve">re BEIS are keen to see growth hubs address new issues or integrate with new, national programmes.  </w:t>
            </w:r>
            <w:r>
              <w:rPr>
                <w:color w:val="auto"/>
              </w:rPr>
              <w:t xml:space="preserve">    </w:t>
            </w:r>
          </w:p>
          <w:p w:rsidR="002B3CC5" w:rsidRPr="002B3CC5" w:rsidRDefault="007647CF" w:rsidP="007647CF">
            <w:pPr>
              <w:jc w:val="both"/>
              <w:rPr>
                <w:color w:val="auto"/>
              </w:rPr>
            </w:pPr>
          </w:p>
          <w:p w:rsidR="002B3CC5" w:rsidRPr="002B3CC5" w:rsidRDefault="007647CF" w:rsidP="007647CF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7647CF" w:rsidP="007647CF">
            <w:pPr>
              <w:jc w:val="both"/>
              <w:rPr>
                <w:color w:val="auto"/>
              </w:rPr>
            </w:pPr>
          </w:p>
          <w:p w:rsidR="00E54EE0" w:rsidRDefault="007647CF" w:rsidP="007647CF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The LEP's Business Support Management Board are recommended to:-</w:t>
            </w:r>
          </w:p>
          <w:p w:rsidR="00E54EE0" w:rsidRDefault="007647CF" w:rsidP="007647CF">
            <w:pPr>
              <w:ind w:left="0" w:firstLine="0"/>
              <w:jc w:val="both"/>
              <w:rPr>
                <w:color w:val="auto"/>
              </w:rPr>
            </w:pPr>
          </w:p>
          <w:p w:rsidR="00E54EE0" w:rsidRDefault="007647CF" w:rsidP="007647CF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Note the content of the Draft Annual Report template.</w:t>
            </w:r>
          </w:p>
          <w:p w:rsidR="002B3CC5" w:rsidRPr="00E54EE0" w:rsidRDefault="007647CF" w:rsidP="007647CF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Endorse its su</w:t>
            </w:r>
            <w:r>
              <w:rPr>
                <w:color w:val="auto"/>
              </w:rPr>
              <w:t xml:space="preserve">bmission to BEIS and Communities and Local Growth Team. </w:t>
            </w:r>
          </w:p>
          <w:p w:rsidR="002B3CC5" w:rsidRDefault="007647CF" w:rsidP="007647CF">
            <w:pPr>
              <w:jc w:val="both"/>
            </w:pPr>
          </w:p>
        </w:tc>
      </w:tr>
    </w:tbl>
    <w:p w:rsidR="002B3CC5" w:rsidRDefault="007647CF" w:rsidP="007647CF">
      <w:pPr>
        <w:pStyle w:val="Header"/>
        <w:jc w:val="both"/>
      </w:pPr>
    </w:p>
    <w:p w:rsidR="00A3358A" w:rsidRDefault="007647CF" w:rsidP="007647CF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Background and Advice </w:t>
      </w:r>
    </w:p>
    <w:p w:rsidR="00A3358A" w:rsidRDefault="007647CF" w:rsidP="007647CF">
      <w:pPr>
        <w:jc w:val="both"/>
        <w:rPr>
          <w:b/>
        </w:rPr>
      </w:pPr>
    </w:p>
    <w:p w:rsidR="00A3358A" w:rsidRDefault="007647CF" w:rsidP="007647CF">
      <w:pPr>
        <w:pStyle w:val="ListParagraph"/>
        <w:numPr>
          <w:ilvl w:val="1"/>
          <w:numId w:val="5"/>
        </w:numPr>
        <w:jc w:val="both"/>
      </w:pPr>
      <w:r>
        <w:t xml:space="preserve">Boost – Lancashire's Business Growth Hub was established in 2012, as one of the first wave of local provision established to fill the void left by the closure of </w:t>
      </w:r>
      <w:r>
        <w:t>Business Link and the disestablishment of regional developmen</w:t>
      </w:r>
      <w:r>
        <w:t xml:space="preserve">t agencies.  </w:t>
      </w:r>
      <w:r>
        <w:t xml:space="preserve">Seeing the effectiveness of this approach, BEIS took steps to resource and bring </w:t>
      </w:r>
      <w:r>
        <w:lastRenderedPageBreak/>
        <w:t xml:space="preserve">a network </w:t>
      </w:r>
      <w:r>
        <w:t xml:space="preserve">of Growth Hubs matched to the geography of the LEP network. </w:t>
      </w:r>
      <w:r>
        <w:br/>
      </w:r>
    </w:p>
    <w:p w:rsidR="00396D36" w:rsidRDefault="007647CF" w:rsidP="007647CF">
      <w:pPr>
        <w:pStyle w:val="ListParagraph"/>
        <w:numPr>
          <w:ilvl w:val="1"/>
          <w:numId w:val="5"/>
        </w:numPr>
        <w:jc w:val="both"/>
      </w:pPr>
      <w:r>
        <w:t>In Lancashire, Boost has bene</w:t>
      </w:r>
      <w:r>
        <w:t>fitted from three rounds of European Regional Development Funding matched by Lancashire County Council.  This supports a project with an annual budget of around £2m.  An additional BEIS contribution of £328,000 per annum is used for aligned activity and to</w:t>
      </w:r>
      <w:r>
        <w:t xml:space="preserve"> match fund projects with other partners.</w:t>
      </w:r>
    </w:p>
    <w:p w:rsidR="007647CF" w:rsidRDefault="007647CF" w:rsidP="007647CF">
      <w:pPr>
        <w:pStyle w:val="ListParagraph"/>
        <w:ind w:left="570" w:firstLine="0"/>
        <w:jc w:val="both"/>
      </w:pPr>
    </w:p>
    <w:p w:rsidR="008D661C" w:rsidRDefault="007647CF" w:rsidP="007647CF">
      <w:pPr>
        <w:jc w:val="both"/>
      </w:pPr>
      <w:r>
        <w:t>1</w:t>
      </w:r>
      <w:r>
        <w:t>.3</w:t>
      </w:r>
      <w:r>
        <w:tab/>
        <w:t>The draft Annual Report is appended for comment and endorsement by the Business Support Management Board.</w:t>
      </w:r>
      <w:r>
        <w:t xml:space="preserve"> </w:t>
      </w:r>
    </w:p>
    <w:p w:rsidR="00386D34" w:rsidRDefault="007647CF" w:rsidP="007647CF">
      <w:pPr>
        <w:jc w:val="both"/>
      </w:pPr>
    </w:p>
    <w:p w:rsidR="006312CF" w:rsidRPr="00ED571D" w:rsidRDefault="007647CF" w:rsidP="007647CF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6312CF" w:rsidRPr="00ED571D" w:rsidRDefault="007647CF" w:rsidP="007647C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25237B" w:rsidTr="00366AEB">
        <w:tc>
          <w:tcPr>
            <w:tcW w:w="3510" w:type="dxa"/>
          </w:tcPr>
          <w:p w:rsidR="006312CF" w:rsidRPr="00ED571D" w:rsidRDefault="007647CF" w:rsidP="007647CF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6312CF" w:rsidRPr="00ED571D" w:rsidRDefault="007647CF" w:rsidP="007647CF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6312CF" w:rsidRPr="00ED571D" w:rsidRDefault="007647CF" w:rsidP="007647CF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25237B" w:rsidTr="00366AEB">
        <w:tc>
          <w:tcPr>
            <w:tcW w:w="3510" w:type="dxa"/>
          </w:tcPr>
          <w:p w:rsidR="007647CF" w:rsidRDefault="007647CF" w:rsidP="007647CF">
            <w:pPr>
              <w:ind w:left="34" w:firstLine="0"/>
              <w:jc w:val="both"/>
              <w:rPr>
                <w:color w:val="auto"/>
              </w:rPr>
            </w:pPr>
          </w:p>
          <w:p w:rsidR="006312CF" w:rsidRPr="00ED571D" w:rsidRDefault="007647CF" w:rsidP="007647CF">
            <w:pPr>
              <w:ind w:left="34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  <w:tc>
          <w:tcPr>
            <w:tcW w:w="2492" w:type="dxa"/>
          </w:tcPr>
          <w:p w:rsidR="006312CF" w:rsidRDefault="007647CF" w:rsidP="007647CF">
            <w:pPr>
              <w:jc w:val="both"/>
              <w:rPr>
                <w:color w:val="auto"/>
              </w:rPr>
            </w:pPr>
          </w:p>
          <w:p w:rsidR="00B927DE" w:rsidRPr="00ED571D" w:rsidRDefault="007647CF" w:rsidP="007647CF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:rsidR="006312CF" w:rsidRDefault="007647CF" w:rsidP="007647CF">
            <w:pPr>
              <w:jc w:val="both"/>
              <w:rPr>
                <w:color w:val="auto"/>
              </w:rPr>
            </w:pPr>
          </w:p>
          <w:p w:rsidR="00B927DE" w:rsidRPr="00ED571D" w:rsidRDefault="007647CF" w:rsidP="007647CF">
            <w:pPr>
              <w:jc w:val="both"/>
              <w:rPr>
                <w:color w:val="auto"/>
              </w:rPr>
            </w:pPr>
          </w:p>
        </w:tc>
      </w:tr>
      <w:tr w:rsidR="0025237B" w:rsidTr="00366AEB">
        <w:trPr>
          <w:cantSplit/>
        </w:trPr>
        <w:tc>
          <w:tcPr>
            <w:tcW w:w="9180" w:type="dxa"/>
            <w:gridSpan w:val="3"/>
          </w:tcPr>
          <w:p w:rsidR="006312CF" w:rsidRPr="00ED571D" w:rsidRDefault="007647CF" w:rsidP="007647CF">
            <w:pPr>
              <w:jc w:val="both"/>
            </w:pPr>
          </w:p>
          <w:p w:rsidR="006312CF" w:rsidRPr="00ED571D" w:rsidRDefault="007647CF" w:rsidP="007647CF">
            <w:pPr>
              <w:jc w:val="both"/>
            </w:pPr>
            <w:r w:rsidRPr="00ED571D">
              <w:t xml:space="preserve">Reason for inclusion in Part II, if appropriate </w:t>
            </w:r>
          </w:p>
          <w:p w:rsidR="006312CF" w:rsidRPr="00ED571D" w:rsidRDefault="007647CF" w:rsidP="007647CF">
            <w:pPr>
              <w:jc w:val="both"/>
            </w:pPr>
          </w:p>
          <w:p w:rsidR="006312CF" w:rsidRPr="00ED571D" w:rsidRDefault="007647CF" w:rsidP="007647CF">
            <w:pPr>
              <w:jc w:val="both"/>
            </w:pPr>
            <w:r>
              <w:t>N/A</w:t>
            </w:r>
            <w:bookmarkStart w:id="0" w:name="_GoBack"/>
            <w:bookmarkEnd w:id="0"/>
          </w:p>
        </w:tc>
      </w:tr>
    </w:tbl>
    <w:p w:rsidR="006312CF" w:rsidRDefault="007647CF" w:rsidP="007647CF">
      <w:pPr>
        <w:jc w:val="both"/>
      </w:pPr>
    </w:p>
    <w:sectPr w:rsidR="006312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47CF">
      <w:pPr>
        <w:spacing w:after="0" w:line="240" w:lineRule="auto"/>
      </w:pPr>
      <w:r>
        <w:separator/>
      </w:r>
    </w:p>
  </w:endnote>
  <w:endnote w:type="continuationSeparator" w:id="0">
    <w:p w:rsidR="00000000" w:rsidRDefault="0076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47CF">
      <w:pPr>
        <w:spacing w:after="0" w:line="240" w:lineRule="auto"/>
      </w:pPr>
      <w:r>
        <w:separator/>
      </w:r>
    </w:p>
  </w:footnote>
  <w:footnote w:type="continuationSeparator" w:id="0">
    <w:p w:rsidR="00000000" w:rsidRDefault="0076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7647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67059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43610BB"/>
    <w:multiLevelType w:val="multilevel"/>
    <w:tmpl w:val="F6A4B2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42380F"/>
    <w:multiLevelType w:val="hybridMultilevel"/>
    <w:tmpl w:val="B7361E20"/>
    <w:lvl w:ilvl="0" w:tplc="2500DD5E">
      <w:start w:val="1"/>
      <w:numFmt w:val="decimal"/>
      <w:lvlText w:val="%1."/>
      <w:lvlJc w:val="left"/>
      <w:pPr>
        <w:ind w:left="781" w:hanging="360"/>
      </w:pPr>
    </w:lvl>
    <w:lvl w:ilvl="1" w:tplc="FEC2EC9E" w:tentative="1">
      <w:start w:val="1"/>
      <w:numFmt w:val="lowerLetter"/>
      <w:lvlText w:val="%2."/>
      <w:lvlJc w:val="left"/>
      <w:pPr>
        <w:ind w:left="1501" w:hanging="360"/>
      </w:pPr>
    </w:lvl>
    <w:lvl w:ilvl="2" w:tplc="03AACB04" w:tentative="1">
      <w:start w:val="1"/>
      <w:numFmt w:val="lowerRoman"/>
      <w:lvlText w:val="%3."/>
      <w:lvlJc w:val="right"/>
      <w:pPr>
        <w:ind w:left="2221" w:hanging="180"/>
      </w:pPr>
    </w:lvl>
    <w:lvl w:ilvl="3" w:tplc="0436D3DE" w:tentative="1">
      <w:start w:val="1"/>
      <w:numFmt w:val="decimal"/>
      <w:lvlText w:val="%4."/>
      <w:lvlJc w:val="left"/>
      <w:pPr>
        <w:ind w:left="2941" w:hanging="360"/>
      </w:pPr>
    </w:lvl>
    <w:lvl w:ilvl="4" w:tplc="69161230" w:tentative="1">
      <w:start w:val="1"/>
      <w:numFmt w:val="lowerLetter"/>
      <w:lvlText w:val="%5."/>
      <w:lvlJc w:val="left"/>
      <w:pPr>
        <w:ind w:left="3661" w:hanging="360"/>
      </w:pPr>
    </w:lvl>
    <w:lvl w:ilvl="5" w:tplc="03368CB8" w:tentative="1">
      <w:start w:val="1"/>
      <w:numFmt w:val="lowerRoman"/>
      <w:lvlText w:val="%6."/>
      <w:lvlJc w:val="right"/>
      <w:pPr>
        <w:ind w:left="4381" w:hanging="180"/>
      </w:pPr>
    </w:lvl>
    <w:lvl w:ilvl="6" w:tplc="0F52FC62" w:tentative="1">
      <w:start w:val="1"/>
      <w:numFmt w:val="decimal"/>
      <w:lvlText w:val="%7."/>
      <w:lvlJc w:val="left"/>
      <w:pPr>
        <w:ind w:left="5101" w:hanging="360"/>
      </w:pPr>
    </w:lvl>
    <w:lvl w:ilvl="7" w:tplc="04C0B0B8" w:tentative="1">
      <w:start w:val="1"/>
      <w:numFmt w:val="lowerLetter"/>
      <w:lvlText w:val="%8."/>
      <w:lvlJc w:val="left"/>
      <w:pPr>
        <w:ind w:left="5821" w:hanging="360"/>
      </w:pPr>
    </w:lvl>
    <w:lvl w:ilvl="8" w:tplc="168A2102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2D2473D4"/>
    <w:multiLevelType w:val="hybridMultilevel"/>
    <w:tmpl w:val="0BBA2C0C"/>
    <w:lvl w:ilvl="0" w:tplc="69D4511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CB4B46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6B00E4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522822C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3CAA0A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0961FE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CFC8B26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54C8A0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C2967FB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7B"/>
    <w:rsid w:val="0025237B"/>
    <w:rsid w:val="007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7792"/>
  <w15:docId w15:val="{CB201527-033F-46C8-82F6-79B915C5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4293-8FE1-4F61-8C28-7D9A07EF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Tween, Holly</cp:lastModifiedBy>
  <cp:revision>9</cp:revision>
  <dcterms:created xsi:type="dcterms:W3CDTF">2015-06-25T10:41:00Z</dcterms:created>
  <dcterms:modified xsi:type="dcterms:W3CDTF">2019-05-08T13:54:00Z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Growth Hub Annual Report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Thursday, 9 May 2019</vt:lpwstr>
  </property>
</Properties>
</file>